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1AD97" w14:textId="77777777" w:rsidR="00536D5D" w:rsidRDefault="00536D5D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0E2EC09E" w14:textId="0314C18B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4843ADED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F515B">
        <w:rPr>
          <w:rFonts w:cs="Arial"/>
          <w:b/>
          <w:sz w:val="28"/>
          <w:szCs w:val="28"/>
        </w:rPr>
        <w:t>RADEX</w:t>
      </w:r>
      <w:r w:rsidR="00F321AE" w:rsidRPr="00F321AE">
        <w:rPr>
          <w:rFonts w:cs="Arial"/>
          <w:b/>
          <w:sz w:val="28"/>
          <w:szCs w:val="28"/>
        </w:rPr>
        <w:t>/FEWM.01.02-02/2024/1.</w:t>
      </w:r>
      <w:r w:rsidR="00AF515B">
        <w:rPr>
          <w:rFonts w:cs="Arial"/>
          <w:b/>
          <w:sz w:val="28"/>
          <w:szCs w:val="28"/>
        </w:rPr>
        <w:t>6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398B5239" w:rsidR="00346E12" w:rsidRDefault="00F321AE" w:rsidP="00346E12">
      <w:pPr>
        <w:spacing w:line="360" w:lineRule="auto"/>
        <w:jc w:val="center"/>
        <w:rPr>
          <w:rFonts w:ascii="Calibri" w:hAnsi="Calibri" w:cs="Calibri"/>
        </w:rPr>
      </w:pPr>
      <w:r w:rsidRPr="00F321AE">
        <w:rPr>
          <w:rFonts w:eastAsia="Tahoma" w:cs="Times New Roman"/>
          <w:b/>
          <w:sz w:val="28"/>
          <w:szCs w:val="28"/>
        </w:rPr>
        <w:t>Opis celu i zakresu usługi badawczej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E9F539C" w14:textId="77777777" w:rsidR="00F321AE" w:rsidRPr="00315860" w:rsidRDefault="00F321AE" w:rsidP="00323AF1">
      <w:pPr>
        <w:spacing w:after="0" w:line="360" w:lineRule="auto"/>
        <w:rPr>
          <w:rFonts w:eastAsia="Tahoma" w:cstheme="minorHAnsi"/>
          <w:b/>
          <w:sz w:val="24"/>
          <w:szCs w:val="24"/>
        </w:rPr>
      </w:pPr>
      <w:r w:rsidRPr="00315860">
        <w:rPr>
          <w:rFonts w:eastAsia="Tahoma" w:cstheme="minorHAnsi"/>
          <w:b/>
          <w:sz w:val="24"/>
          <w:szCs w:val="24"/>
        </w:rPr>
        <w:t>Zakres ogólny usługi</w:t>
      </w:r>
    </w:p>
    <w:p w14:paraId="7A8C7C3A" w14:textId="268C0B48" w:rsidR="00F321AE" w:rsidRPr="009B68F2" w:rsidRDefault="00E41BF4" w:rsidP="00F91C68">
      <w:pPr>
        <w:spacing w:after="0" w:line="360" w:lineRule="auto"/>
        <w:jc w:val="both"/>
        <w:rPr>
          <w:rFonts w:eastAsia="Tahoma" w:cstheme="minorHAnsi"/>
        </w:rPr>
      </w:pPr>
      <w:r w:rsidRPr="000159CA">
        <w:rPr>
          <w:rFonts w:eastAsia="Tahoma" w:cstheme="minorHAnsi"/>
        </w:rPr>
        <w:t>Przedmiotem zamówienia jest realizacja usługi badawczo</w:t>
      </w:r>
      <w:r w:rsidRPr="000159CA">
        <w:rPr>
          <w:rFonts w:eastAsia="Tahoma" w:cstheme="minorHAnsi"/>
        </w:rPr>
        <w:noBreakHyphen/>
        <w:t xml:space="preserve">rozwojowej polegającej na </w:t>
      </w:r>
      <w:r w:rsidR="00132836">
        <w:rPr>
          <w:rFonts w:eastAsia="Tahoma" w:cstheme="minorHAnsi"/>
        </w:rPr>
        <w:t>wytworzeniu wariantów piany drzewnej z trocin oraz przeprowadzeniu badań nad wybranymi właściwościami dla uzyskanych wariantów.</w:t>
      </w:r>
    </w:p>
    <w:p w14:paraId="6279215C" w14:textId="77777777" w:rsidR="00323AF1" w:rsidRPr="009B68F2" w:rsidRDefault="00323AF1" w:rsidP="009B68F2">
      <w:pPr>
        <w:spacing w:after="0" w:line="360" w:lineRule="auto"/>
        <w:jc w:val="both"/>
        <w:rPr>
          <w:rFonts w:eastAsia="Tahoma" w:cstheme="minorHAnsi"/>
          <w:b/>
        </w:rPr>
      </w:pPr>
    </w:p>
    <w:p w14:paraId="7A86BA92" w14:textId="74C5C73B" w:rsidR="00F321AE" w:rsidRPr="00315860" w:rsidRDefault="00F321AE" w:rsidP="009B68F2">
      <w:pPr>
        <w:spacing w:after="0" w:line="360" w:lineRule="auto"/>
        <w:jc w:val="both"/>
        <w:rPr>
          <w:rFonts w:eastAsia="Tahoma" w:cstheme="minorHAnsi"/>
          <w:b/>
          <w:sz w:val="24"/>
          <w:szCs w:val="24"/>
        </w:rPr>
      </w:pPr>
      <w:r w:rsidRPr="00315860">
        <w:rPr>
          <w:rFonts w:eastAsia="Tahoma" w:cstheme="minorHAnsi"/>
          <w:b/>
          <w:sz w:val="24"/>
          <w:szCs w:val="24"/>
        </w:rPr>
        <w:t>Cel</w:t>
      </w:r>
    </w:p>
    <w:p w14:paraId="73335080" w14:textId="236E4092" w:rsidR="003F4AC4" w:rsidRDefault="00F91C68" w:rsidP="009B68F2">
      <w:pPr>
        <w:spacing w:after="0" w:line="360" w:lineRule="auto"/>
        <w:jc w:val="both"/>
        <w:rPr>
          <w:rFonts w:eastAsia="Tahoma" w:cstheme="minorHAnsi"/>
        </w:rPr>
      </w:pPr>
      <w:r w:rsidRPr="00F91C68">
        <w:rPr>
          <w:rFonts w:eastAsia="Tahoma" w:cstheme="minorHAnsi"/>
        </w:rPr>
        <w:t>Celem badań jest opracowanie płyty kompozytowej do zastosowania w roli wypełnienia skrzydeł drzwiowych oraz jako wypełnienie ścian i przegród zewnętrznych w budownictwie drewnianym i modułowym. Głównym wyzwaniem badawczym będzie opracowanie sposobu sklejenia trocin (prasowania) do postaci płyty izolacyjnej, która będzie wykazywała jednocześnie następujący zespół cech: (1) kohezja pozwalająca na obróbkę skrawaniem i (2) duża porowatość = możliwie mała gęstość determinująca wysoką izolacyjność termiczną i akustyczną.</w:t>
      </w:r>
    </w:p>
    <w:p w14:paraId="7529B3DA" w14:textId="77777777" w:rsidR="00134419" w:rsidRDefault="00134419" w:rsidP="009B68F2">
      <w:pPr>
        <w:spacing w:after="0" w:line="360" w:lineRule="auto"/>
        <w:jc w:val="both"/>
        <w:rPr>
          <w:rFonts w:eastAsia="Tahoma" w:cstheme="minorHAnsi"/>
        </w:rPr>
      </w:pPr>
    </w:p>
    <w:p w14:paraId="1444D876" w14:textId="38F4F1B7" w:rsidR="00134419" w:rsidRDefault="00134419" w:rsidP="009B68F2">
      <w:pPr>
        <w:spacing w:after="0" w:line="360" w:lineRule="auto"/>
        <w:jc w:val="both"/>
        <w:rPr>
          <w:rFonts w:eastAsia="Tahoma" w:cstheme="minorHAnsi"/>
          <w:b/>
          <w:bCs/>
        </w:rPr>
      </w:pPr>
      <w:r w:rsidRPr="00134419">
        <w:rPr>
          <w:rFonts w:eastAsia="Tahoma" w:cstheme="minorHAnsi"/>
          <w:b/>
          <w:bCs/>
        </w:rPr>
        <w:t>Grupa badawcza</w:t>
      </w:r>
    </w:p>
    <w:p w14:paraId="0187355D" w14:textId="02C8E5DC" w:rsidR="00134419" w:rsidRPr="00134419" w:rsidRDefault="00134419" w:rsidP="009B68F2">
      <w:pPr>
        <w:spacing w:after="0" w:line="360" w:lineRule="auto"/>
        <w:jc w:val="both"/>
        <w:rPr>
          <w:rFonts w:eastAsia="Tahoma" w:cstheme="minorHAnsi"/>
        </w:rPr>
      </w:pPr>
      <w:r>
        <w:rPr>
          <w:rFonts w:eastAsia="Tahoma" w:cstheme="minorHAnsi"/>
        </w:rPr>
        <w:t xml:space="preserve">Grupę badawczą stanowić będzie </w:t>
      </w:r>
      <w:r w:rsidRPr="00134419">
        <w:rPr>
          <w:rFonts w:eastAsia="Tahoma" w:cstheme="minorHAnsi"/>
        </w:rPr>
        <w:t>ok. 600 wariantów wypełnienia wytworzonych laboratoryjnie. Użyte będą próbki modelowe o wymiarach 2,1 cm x 90 cm, grubości 9 cm. Liczba wariantów wynika z liczby zmiennych eksperymentalnych, tzn. 30 poziomów gęstości x poziomy zaklejenia x 5 rodzaje kleju x 4 rodzaje środków ogniochronnych i przeciwgrzybowych.</w:t>
      </w:r>
    </w:p>
    <w:p w14:paraId="1224BED9" w14:textId="77777777" w:rsidR="00F91C68" w:rsidRDefault="00F91C68" w:rsidP="009B68F2">
      <w:pPr>
        <w:spacing w:after="0" w:line="360" w:lineRule="auto"/>
        <w:jc w:val="both"/>
        <w:rPr>
          <w:rFonts w:eastAsia="Tahoma" w:cstheme="minorHAnsi"/>
          <w:b/>
          <w:bCs/>
        </w:rPr>
      </w:pPr>
    </w:p>
    <w:p w14:paraId="6CC0DB3C" w14:textId="77777777" w:rsidR="001A0011" w:rsidRPr="00315860" w:rsidRDefault="001A0011" w:rsidP="001A0011">
      <w:pPr>
        <w:spacing w:after="0" w:line="360" w:lineRule="auto"/>
        <w:jc w:val="both"/>
        <w:rPr>
          <w:rFonts w:eastAsia="Tahoma" w:cstheme="minorHAnsi"/>
          <w:b/>
          <w:bCs/>
          <w:sz w:val="24"/>
          <w:szCs w:val="24"/>
        </w:rPr>
      </w:pPr>
      <w:r w:rsidRPr="00315860">
        <w:rPr>
          <w:rFonts w:eastAsia="Tahoma" w:cstheme="minorHAnsi"/>
          <w:b/>
          <w:bCs/>
          <w:sz w:val="24"/>
          <w:szCs w:val="24"/>
        </w:rPr>
        <w:t>Etapy prac wraz z zakresem merytorycznym</w:t>
      </w:r>
    </w:p>
    <w:p w14:paraId="3DA7771F" w14:textId="15E2BB64" w:rsidR="001A0011" w:rsidRPr="000159CA" w:rsidRDefault="001A0011" w:rsidP="001A0011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 xml:space="preserve">Etap 1. </w:t>
      </w:r>
      <w:r w:rsidR="00132836" w:rsidRPr="00132836">
        <w:rPr>
          <w:rFonts w:eastAsia="Times New Roman" w:cstheme="minorHAnsi"/>
          <w:b/>
          <w:bCs/>
          <w:lang w:eastAsia="pl-PL"/>
        </w:rPr>
        <w:t xml:space="preserve">Opracowanie optymalnej metody wytworzenia piany drzewnej z trocin </w:t>
      </w:r>
      <w:r w:rsidR="00134419">
        <w:rPr>
          <w:rFonts w:eastAsia="Times New Roman" w:cstheme="minorHAnsi"/>
          <w:b/>
          <w:bCs/>
          <w:lang w:eastAsia="pl-PL"/>
        </w:rPr>
        <w:t>oraz wytworzenie wariantów przeznaczonych do dalszych badań</w:t>
      </w:r>
    </w:p>
    <w:p w14:paraId="2AD77906" w14:textId="77777777" w:rsidR="00134419" w:rsidRDefault="00134419" w:rsidP="001A0011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7A6820E2" w14:textId="2C1ADED9" w:rsidR="001A0011" w:rsidRPr="000159CA" w:rsidRDefault="001A0011" w:rsidP="001A0011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>Produkt etapu:</w:t>
      </w:r>
      <w:r w:rsidRPr="000159CA">
        <w:rPr>
          <w:rFonts w:eastAsia="Times New Roman" w:cstheme="minorHAnsi"/>
          <w:lang w:eastAsia="pl-PL"/>
        </w:rPr>
        <w:t xml:space="preserve"> raport </w:t>
      </w:r>
      <w:r w:rsidR="00134419">
        <w:rPr>
          <w:rFonts w:eastAsia="Times New Roman" w:cstheme="minorHAnsi"/>
          <w:lang w:eastAsia="pl-PL"/>
        </w:rPr>
        <w:t xml:space="preserve">z przeprowadzonych badań </w:t>
      </w:r>
      <w:r w:rsidRPr="000159CA">
        <w:rPr>
          <w:rFonts w:eastAsia="Times New Roman" w:cstheme="minorHAnsi"/>
          <w:lang w:eastAsia="pl-PL"/>
        </w:rPr>
        <w:t>z</w:t>
      </w:r>
      <w:r w:rsidR="00134419">
        <w:rPr>
          <w:rFonts w:eastAsia="Times New Roman" w:cstheme="minorHAnsi"/>
          <w:lang w:eastAsia="pl-PL"/>
        </w:rPr>
        <w:t xml:space="preserve">awierający metodologię wytworzenia, identyfikację i charakterystykę uzyskanych wariantów </w:t>
      </w:r>
      <w:r w:rsidR="00134419" w:rsidRPr="00134419">
        <w:rPr>
          <w:rFonts w:eastAsia="Times New Roman" w:cstheme="minorHAnsi"/>
          <w:lang w:eastAsia="pl-PL"/>
        </w:rPr>
        <w:t>materiałów wypełnienia o zdefiniowanym składzie</w:t>
      </w:r>
    </w:p>
    <w:p w14:paraId="42D381C8" w14:textId="77777777" w:rsidR="001A0011" w:rsidRDefault="001A0011" w:rsidP="001A0011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07C26B6D" w14:textId="53ED29FC" w:rsidR="001A0011" w:rsidRPr="000159CA" w:rsidRDefault="001A0011" w:rsidP="001A0011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lastRenderedPageBreak/>
        <w:t xml:space="preserve">Etap 2. </w:t>
      </w:r>
      <w:r w:rsidR="00134419" w:rsidRPr="00134419">
        <w:rPr>
          <w:rFonts w:eastAsia="Times New Roman" w:cstheme="minorHAnsi"/>
          <w:b/>
          <w:bCs/>
          <w:lang w:eastAsia="pl-PL"/>
        </w:rPr>
        <w:t>Badania współczynnika przewodności cieplnej λ</w:t>
      </w:r>
    </w:p>
    <w:p w14:paraId="442F1F2A" w14:textId="77777777" w:rsidR="00134419" w:rsidRDefault="00134419" w:rsidP="001A0011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4A272629" w14:textId="1DE3FFF4" w:rsidR="001A0011" w:rsidRPr="000159CA" w:rsidRDefault="001A0011" w:rsidP="001A0011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>Produkt etapu:</w:t>
      </w:r>
      <w:r w:rsidRPr="000159CA">
        <w:rPr>
          <w:rFonts w:eastAsia="Times New Roman" w:cstheme="minorHAnsi"/>
          <w:lang w:eastAsia="pl-PL"/>
        </w:rPr>
        <w:t xml:space="preserve"> </w:t>
      </w:r>
      <w:r w:rsidR="00062A36">
        <w:rPr>
          <w:rFonts w:eastAsia="Times New Roman" w:cstheme="minorHAnsi"/>
          <w:lang w:eastAsia="pl-PL"/>
        </w:rPr>
        <w:t xml:space="preserve">raport z przeprowadzonych badań zawierający identyfikację wariantów charakteryzujących się </w:t>
      </w:r>
      <w:r w:rsidR="00062A36" w:rsidRPr="00062A36">
        <w:rPr>
          <w:rFonts w:eastAsia="Times New Roman" w:cstheme="minorHAnsi"/>
          <w:lang w:eastAsia="pl-PL"/>
        </w:rPr>
        <w:t>współczynnik</w:t>
      </w:r>
      <w:r w:rsidR="00062A36">
        <w:rPr>
          <w:rFonts w:eastAsia="Times New Roman" w:cstheme="minorHAnsi"/>
          <w:lang w:eastAsia="pl-PL"/>
        </w:rPr>
        <w:t>iem</w:t>
      </w:r>
      <w:r w:rsidR="00062A36" w:rsidRPr="00062A36">
        <w:rPr>
          <w:rFonts w:eastAsia="Times New Roman" w:cstheme="minorHAnsi"/>
          <w:lang w:eastAsia="pl-PL"/>
        </w:rPr>
        <w:t xml:space="preserve"> przewodności cieplnej λ ≤ 0,040 W/(m·K)</w:t>
      </w:r>
    </w:p>
    <w:p w14:paraId="4B444AB5" w14:textId="77777777" w:rsidR="001A0011" w:rsidRDefault="001A0011" w:rsidP="001A0011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5AEFD9EB" w14:textId="316374A4" w:rsidR="001A0011" w:rsidRDefault="001A0011" w:rsidP="001A0011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 xml:space="preserve">Etap 3. </w:t>
      </w:r>
      <w:r w:rsidR="00062A36" w:rsidRPr="00062A36">
        <w:rPr>
          <w:rFonts w:eastAsia="Times New Roman" w:cstheme="minorHAnsi"/>
          <w:b/>
          <w:bCs/>
          <w:lang w:eastAsia="pl-PL"/>
        </w:rPr>
        <w:t>Badania reakcji na ogień</w:t>
      </w:r>
    </w:p>
    <w:p w14:paraId="5266870E" w14:textId="03FE235C" w:rsidR="00062A36" w:rsidRPr="00062A36" w:rsidRDefault="00B53EF3" w:rsidP="00062A36">
      <w:pPr>
        <w:pStyle w:val="Akapitzlist"/>
        <w:numPr>
          <w:ilvl w:val="0"/>
          <w:numId w:val="72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b</w:t>
      </w:r>
      <w:r w:rsidR="00062A36" w:rsidRPr="00062A36">
        <w:rPr>
          <w:rFonts w:eastAsia="Times New Roman" w:cstheme="minorHAnsi"/>
          <w:lang w:eastAsia="pl-PL"/>
        </w:rPr>
        <w:t>adani</w:t>
      </w:r>
      <w:r>
        <w:rPr>
          <w:rFonts w:eastAsia="Times New Roman" w:cstheme="minorHAnsi"/>
          <w:lang w:eastAsia="pl-PL"/>
        </w:rPr>
        <w:t>a</w:t>
      </w:r>
      <w:r w:rsidR="00062A36" w:rsidRPr="00062A36">
        <w:rPr>
          <w:rFonts w:eastAsia="Times New Roman" w:cstheme="minorHAnsi"/>
          <w:lang w:eastAsia="pl-PL"/>
        </w:rPr>
        <w:t xml:space="preserve"> wg PN-EN 13823 – „Badanie reakcji na ogień materiałów budowlanych. Metoda badania na podstawie wielkości dymu, ilości ciepła oraz rozwoju ognia w komorze” do określenia takich parametrów jak emisja dymu i temperatura rozwoju ognia</w:t>
      </w:r>
    </w:p>
    <w:p w14:paraId="44AC1268" w14:textId="582D9CB6" w:rsidR="00062A36" w:rsidRPr="00062A36" w:rsidRDefault="00B53EF3" w:rsidP="00062A36">
      <w:pPr>
        <w:pStyle w:val="Akapitzlist"/>
        <w:numPr>
          <w:ilvl w:val="0"/>
          <w:numId w:val="72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</w:t>
      </w:r>
      <w:r w:rsidR="00062A36" w:rsidRPr="00062A36">
        <w:rPr>
          <w:rFonts w:eastAsia="Times New Roman" w:cstheme="minorHAnsi"/>
          <w:lang w:eastAsia="pl-PL"/>
        </w:rPr>
        <w:t>lasyfikacja wg PN-EN 13501-1</w:t>
      </w:r>
    </w:p>
    <w:p w14:paraId="2B881451" w14:textId="77777777" w:rsidR="00062A36" w:rsidRDefault="00062A36" w:rsidP="001A0011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492416A1" w14:textId="336979A8" w:rsidR="001A0011" w:rsidRPr="000159CA" w:rsidRDefault="001A0011" w:rsidP="001A0011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>Produkt etapu:</w:t>
      </w:r>
      <w:r w:rsidRPr="000159CA">
        <w:rPr>
          <w:rFonts w:eastAsia="Times New Roman" w:cstheme="minorHAnsi"/>
          <w:lang w:eastAsia="pl-PL"/>
        </w:rPr>
        <w:t xml:space="preserve"> </w:t>
      </w:r>
      <w:r w:rsidR="00062A36">
        <w:rPr>
          <w:rFonts w:eastAsia="Times New Roman" w:cstheme="minorHAnsi"/>
          <w:lang w:eastAsia="pl-PL"/>
        </w:rPr>
        <w:t xml:space="preserve">raport z przeprowadzonych badań zawierający identyfikację wariantów cechujących się </w:t>
      </w:r>
      <w:r w:rsidR="00062A36" w:rsidRPr="00062A36">
        <w:rPr>
          <w:rFonts w:eastAsia="Times New Roman" w:cstheme="minorHAnsi"/>
          <w:lang w:eastAsia="pl-PL"/>
        </w:rPr>
        <w:t>ograniczon</w:t>
      </w:r>
      <w:r w:rsidR="00062A36">
        <w:rPr>
          <w:rFonts w:eastAsia="Times New Roman" w:cstheme="minorHAnsi"/>
          <w:lang w:eastAsia="pl-PL"/>
        </w:rPr>
        <w:t>ą</w:t>
      </w:r>
      <w:r w:rsidR="00062A36" w:rsidRPr="00062A36">
        <w:rPr>
          <w:rFonts w:eastAsia="Times New Roman" w:cstheme="minorHAnsi"/>
          <w:lang w:eastAsia="pl-PL"/>
        </w:rPr>
        <w:t xml:space="preserve"> reakcja na ogień - klasa B wg PN-EN 13501-1</w:t>
      </w:r>
    </w:p>
    <w:p w14:paraId="3C7AFE77" w14:textId="77777777" w:rsidR="001A0011" w:rsidRDefault="001A0011" w:rsidP="001A0011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0884FCAD" w14:textId="291A81F1" w:rsidR="001A0011" w:rsidRPr="000159CA" w:rsidRDefault="001A0011" w:rsidP="001A0011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 xml:space="preserve">Etap 4. </w:t>
      </w:r>
      <w:r w:rsidR="00062A36" w:rsidRPr="00062A36">
        <w:rPr>
          <w:rFonts w:eastAsia="Times New Roman" w:cstheme="minorHAnsi"/>
          <w:b/>
          <w:bCs/>
          <w:lang w:eastAsia="pl-PL"/>
        </w:rPr>
        <w:t>Badania odporności mikrobiologicznej</w:t>
      </w:r>
    </w:p>
    <w:p w14:paraId="4C6C501E" w14:textId="040A0B4C" w:rsidR="00062A36" w:rsidRDefault="00062A36" w:rsidP="00062A36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062A36">
        <w:rPr>
          <w:rFonts w:eastAsia="Times New Roman" w:cstheme="minorHAnsi"/>
          <w:lang w:eastAsia="pl-PL"/>
        </w:rPr>
        <w:t xml:space="preserve">podatność materiału wypełnienia na porażenie grzybami następujących gatunków: </w:t>
      </w:r>
      <w:r w:rsidRPr="00062A36">
        <w:rPr>
          <w:rFonts w:eastAsia="Times New Roman" w:cstheme="minorHAnsi"/>
          <w:i/>
          <w:iCs/>
          <w:lang w:eastAsia="pl-PL"/>
        </w:rPr>
        <w:t>Aspergillus fumigatus</w:t>
      </w:r>
      <w:r w:rsidRPr="00062A36">
        <w:rPr>
          <w:rFonts w:eastAsia="Times New Roman" w:cstheme="minorHAnsi"/>
          <w:lang w:eastAsia="pl-PL"/>
        </w:rPr>
        <w:t xml:space="preserve">, </w:t>
      </w:r>
      <w:r w:rsidRPr="00062A36">
        <w:rPr>
          <w:rFonts w:eastAsia="Times New Roman" w:cstheme="minorHAnsi"/>
          <w:i/>
          <w:iCs/>
          <w:lang w:eastAsia="pl-PL"/>
        </w:rPr>
        <w:t>Candida albicans</w:t>
      </w:r>
      <w:r w:rsidRPr="00062A36">
        <w:rPr>
          <w:rFonts w:eastAsia="Times New Roman" w:cstheme="minorHAnsi"/>
          <w:lang w:eastAsia="pl-PL"/>
        </w:rPr>
        <w:t xml:space="preserve"> – grzyby znajdujące się na liście patogenów WHO o najwyższym priorytecie oraz </w:t>
      </w:r>
      <w:r w:rsidRPr="00062A36">
        <w:rPr>
          <w:rFonts w:eastAsia="Times New Roman" w:cstheme="minorHAnsi"/>
          <w:i/>
          <w:iCs/>
          <w:lang w:eastAsia="pl-PL"/>
        </w:rPr>
        <w:t>Coniophora puteana</w:t>
      </w:r>
      <w:r w:rsidRPr="00062A36">
        <w:rPr>
          <w:rFonts w:eastAsia="Times New Roman" w:cstheme="minorHAnsi"/>
          <w:lang w:eastAsia="pl-PL"/>
        </w:rPr>
        <w:t xml:space="preserve"> - grzyb odpowiedzialny za tzw. "szary rozkład brunatny", który powoduje osłabienie strukturalne drewna oraz </w:t>
      </w:r>
      <w:r w:rsidRPr="00062A36">
        <w:rPr>
          <w:rFonts w:eastAsia="Times New Roman" w:cstheme="minorHAnsi"/>
          <w:i/>
          <w:iCs/>
          <w:lang w:eastAsia="pl-PL"/>
        </w:rPr>
        <w:t>Tramates vericolor</w:t>
      </w:r>
      <w:r w:rsidRPr="00062A36">
        <w:rPr>
          <w:rFonts w:eastAsia="Times New Roman" w:cstheme="minorHAnsi"/>
          <w:lang w:eastAsia="pl-PL"/>
        </w:rPr>
        <w:t xml:space="preserve"> - grzyb rozkładający ligninę w drewnie</w:t>
      </w:r>
    </w:p>
    <w:p w14:paraId="29A9E2F7" w14:textId="532A856B" w:rsidR="00062A36" w:rsidRDefault="00062A36" w:rsidP="00062A36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b</w:t>
      </w:r>
      <w:r w:rsidRPr="00062A36">
        <w:rPr>
          <w:rFonts w:eastAsia="Times New Roman" w:cstheme="minorHAnsi"/>
          <w:lang w:eastAsia="pl-PL"/>
        </w:rPr>
        <w:t>adania mają na celu ocenę, w jakim stopniu grzyby wpływają na trwałość materiału wypełnienia, co jest istotne w kontekście ich zastosowania w warunkach wilgotnych oraz czy wypełnienie może być środowiskiem ich wzrostu</w:t>
      </w:r>
    </w:p>
    <w:p w14:paraId="2DD56CAC" w14:textId="2CB6BCE8" w:rsidR="00062A36" w:rsidRPr="00062A36" w:rsidRDefault="00062A36" w:rsidP="00062A36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</w:t>
      </w:r>
      <w:r w:rsidRPr="00062A36">
        <w:rPr>
          <w:rFonts w:eastAsia="Times New Roman" w:cstheme="minorHAnsi"/>
          <w:lang w:eastAsia="pl-PL"/>
        </w:rPr>
        <w:t>cena wizualna zgodnie z ISO 16869: 0 – brak wzrostu grzybów na powierzchni próbki (pełna ochrona); 1 – pojedyncze kolonie grzybów (&lt;10% powierzchni); 2 – wzrost na 10–30% powierzchni próbki; 3 – wzrost na 30–60% powierzchni próbki; 4 – silny wzrost na ponad 60% powierzchni próbki (brak ochrony)</w:t>
      </w:r>
    </w:p>
    <w:p w14:paraId="52830C9A" w14:textId="77777777" w:rsidR="00062A36" w:rsidRDefault="00062A36" w:rsidP="001A0011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eastAsia="Times New Roman" w:cstheme="minorHAnsi"/>
          <w:lang w:eastAsia="pl-PL"/>
        </w:rPr>
      </w:pPr>
    </w:p>
    <w:p w14:paraId="0E99E618" w14:textId="15C16CFF" w:rsidR="00323AF1" w:rsidRDefault="001A0011" w:rsidP="001A0011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cstheme="minorHAnsi"/>
        </w:rPr>
      </w:pPr>
      <w:r w:rsidRPr="000159CA">
        <w:rPr>
          <w:rFonts w:eastAsia="Times New Roman" w:cstheme="minorHAnsi"/>
          <w:b/>
          <w:bCs/>
          <w:lang w:eastAsia="pl-PL"/>
        </w:rPr>
        <w:t>Produkt etapu: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="00062A36">
        <w:rPr>
          <w:rFonts w:cstheme="minorHAnsi"/>
        </w:rPr>
        <w:t xml:space="preserve">raport z przeprowadzonych badań zawierający identyfikację wariantów cechujących się następującą </w:t>
      </w:r>
      <w:r w:rsidR="00062A36" w:rsidRPr="00062A36">
        <w:rPr>
          <w:rFonts w:cstheme="minorHAnsi"/>
        </w:rPr>
        <w:t>odpornoś</w:t>
      </w:r>
      <w:r w:rsidR="00062A36">
        <w:rPr>
          <w:rFonts w:cstheme="minorHAnsi"/>
        </w:rPr>
        <w:t>cią</w:t>
      </w:r>
      <w:r w:rsidR="00062A36" w:rsidRPr="00062A36">
        <w:rPr>
          <w:rFonts w:cstheme="minorHAnsi"/>
        </w:rPr>
        <w:t xml:space="preserve"> mikrobiologiczn</w:t>
      </w:r>
      <w:r w:rsidR="00062A36">
        <w:rPr>
          <w:rFonts w:cstheme="minorHAnsi"/>
        </w:rPr>
        <w:t>ą</w:t>
      </w:r>
      <w:r w:rsidR="00062A36" w:rsidRPr="00062A36">
        <w:rPr>
          <w:rFonts w:cstheme="minorHAnsi"/>
        </w:rPr>
        <w:t>: wynik testu zgodnie z ISO 16869: stopień 1. – pojedyncze kolonie grzybów (&lt;10% powierzchni)</w:t>
      </w:r>
    </w:p>
    <w:p w14:paraId="53C1F957" w14:textId="77777777" w:rsidR="00062A36" w:rsidRDefault="00062A36" w:rsidP="001A0011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cstheme="minorHAnsi"/>
        </w:rPr>
      </w:pPr>
    </w:p>
    <w:p w14:paraId="575F81FD" w14:textId="35B04678" w:rsidR="00062A36" w:rsidRPr="000159CA" w:rsidRDefault="00062A36" w:rsidP="00062A36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 xml:space="preserve">Etap </w:t>
      </w:r>
      <w:r>
        <w:rPr>
          <w:rFonts w:eastAsia="Times New Roman" w:cstheme="minorHAnsi"/>
          <w:b/>
          <w:bCs/>
          <w:lang w:eastAsia="pl-PL"/>
        </w:rPr>
        <w:t>5</w:t>
      </w:r>
      <w:r w:rsidRPr="000159CA">
        <w:rPr>
          <w:rFonts w:eastAsia="Times New Roman" w:cstheme="minorHAnsi"/>
          <w:b/>
          <w:bCs/>
          <w:lang w:eastAsia="pl-PL"/>
        </w:rPr>
        <w:t xml:space="preserve">. </w:t>
      </w:r>
      <w:r w:rsidRPr="00062A36">
        <w:rPr>
          <w:rFonts w:eastAsia="Times New Roman" w:cstheme="minorHAnsi"/>
          <w:b/>
          <w:bCs/>
          <w:lang w:eastAsia="pl-PL"/>
        </w:rPr>
        <w:t>Badania właściwości akustycznych</w:t>
      </w:r>
    </w:p>
    <w:p w14:paraId="39748648" w14:textId="74078D66" w:rsidR="00062A36" w:rsidRDefault="00B53EF3" w:rsidP="00062A36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 xml:space="preserve">badania </w:t>
      </w:r>
      <w:r w:rsidRPr="00B53EF3">
        <w:rPr>
          <w:rFonts w:eastAsia="Times New Roman" w:cstheme="minorHAnsi"/>
          <w:lang w:eastAsia="pl-PL"/>
        </w:rPr>
        <w:t>wg PN-EN ISO 10140-2:2021-10 - “Akustyka – Pomiar laboratoryjny izolacyjności akustycznej elementów budowlanych -- Część 2: Pomiar izolacyjności od dźwięków powietrznych” służące ocenie redukcji hałasu przenikającego przez materiał przy różnym natężeniu dźwięku</w:t>
      </w:r>
    </w:p>
    <w:p w14:paraId="3AA7B8AD" w14:textId="77777777" w:rsidR="00B53EF3" w:rsidRPr="00B53EF3" w:rsidRDefault="00B53EF3" w:rsidP="00B53EF3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4650524C" w14:textId="2EE86FE2" w:rsidR="00062A36" w:rsidRDefault="00062A36" w:rsidP="00062A36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cstheme="minorHAnsi"/>
        </w:rPr>
      </w:pPr>
      <w:r w:rsidRPr="000159CA">
        <w:rPr>
          <w:rFonts w:eastAsia="Times New Roman" w:cstheme="minorHAnsi"/>
          <w:b/>
          <w:bCs/>
          <w:lang w:eastAsia="pl-PL"/>
        </w:rPr>
        <w:t>Produkt etapu:</w:t>
      </w:r>
      <w:r>
        <w:rPr>
          <w:rFonts w:eastAsia="Times New Roman" w:cstheme="minorHAnsi"/>
          <w:b/>
          <w:bCs/>
          <w:lang w:eastAsia="pl-PL"/>
        </w:rPr>
        <w:t xml:space="preserve"> </w:t>
      </w:r>
      <w:r>
        <w:rPr>
          <w:rFonts w:cstheme="minorHAnsi"/>
        </w:rPr>
        <w:t xml:space="preserve">raport z przeprowadzonych badań zawierający identyfikację </w:t>
      </w:r>
      <w:r w:rsidR="00B53EF3">
        <w:rPr>
          <w:rFonts w:cstheme="minorHAnsi"/>
        </w:rPr>
        <w:t>cech akustycznych wariantów</w:t>
      </w:r>
    </w:p>
    <w:p w14:paraId="1A27909B" w14:textId="77777777" w:rsidR="00B53EF3" w:rsidRDefault="00B53EF3" w:rsidP="00062A36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cstheme="minorHAnsi"/>
        </w:rPr>
      </w:pPr>
    </w:p>
    <w:p w14:paraId="27FF92DD" w14:textId="797CA8EB" w:rsidR="00B53EF3" w:rsidRPr="000159CA" w:rsidRDefault="00B53EF3" w:rsidP="00B53EF3">
      <w:pPr>
        <w:spacing w:after="0" w:line="360" w:lineRule="auto"/>
        <w:jc w:val="both"/>
        <w:rPr>
          <w:rFonts w:eastAsia="Times New Roman" w:cstheme="minorHAnsi"/>
          <w:b/>
          <w:bCs/>
          <w:lang w:eastAsia="pl-PL"/>
        </w:rPr>
      </w:pPr>
      <w:r w:rsidRPr="000159CA">
        <w:rPr>
          <w:rFonts w:eastAsia="Times New Roman" w:cstheme="minorHAnsi"/>
          <w:b/>
          <w:bCs/>
          <w:lang w:eastAsia="pl-PL"/>
        </w:rPr>
        <w:t xml:space="preserve">Etap </w:t>
      </w:r>
      <w:r>
        <w:rPr>
          <w:rFonts w:eastAsia="Times New Roman" w:cstheme="minorHAnsi"/>
          <w:b/>
          <w:bCs/>
          <w:lang w:eastAsia="pl-PL"/>
        </w:rPr>
        <w:t>6</w:t>
      </w:r>
      <w:r w:rsidRPr="000159CA">
        <w:rPr>
          <w:rFonts w:eastAsia="Times New Roman" w:cstheme="minorHAnsi"/>
          <w:b/>
          <w:bCs/>
          <w:lang w:eastAsia="pl-PL"/>
        </w:rPr>
        <w:t xml:space="preserve">. </w:t>
      </w:r>
      <w:r w:rsidRPr="00B53EF3">
        <w:rPr>
          <w:rFonts w:eastAsia="Times New Roman" w:cstheme="minorHAnsi"/>
          <w:b/>
          <w:bCs/>
          <w:lang w:eastAsia="pl-PL"/>
        </w:rPr>
        <w:t>Badania odporności na starzenie</w:t>
      </w:r>
    </w:p>
    <w:p w14:paraId="12B1DEC3" w14:textId="528ED30E" w:rsidR="00B53EF3" w:rsidRDefault="00B53EF3" w:rsidP="00B53EF3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badania </w:t>
      </w:r>
      <w:r w:rsidRPr="00B53EF3">
        <w:rPr>
          <w:rFonts w:eastAsia="Times New Roman" w:cstheme="minorHAnsi"/>
          <w:lang w:eastAsia="pl-PL"/>
        </w:rPr>
        <w:t>wg PN-EN 13469 polegające na symulacji warunków eksploatacji w komorze starzeniowej, takich jak zmiany temperatury i wilgotności, w celu sprawdzenia wpływu starzenia na właściwości termoizolacyjne i fizyczne (λ, zmiany wymiarowe, zmiany wytrzymałości mechanicznej)</w:t>
      </w:r>
    </w:p>
    <w:p w14:paraId="4CBB9457" w14:textId="77777777" w:rsidR="00B53EF3" w:rsidRPr="00B53EF3" w:rsidRDefault="00B53EF3" w:rsidP="00B53EF3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09FA035B" w14:textId="1A43323B" w:rsidR="00062A36" w:rsidRPr="009B68F2" w:rsidRDefault="00B53EF3" w:rsidP="001A0011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eastAsia="Calibri" w:cstheme="minorHAnsi"/>
          <w:color w:val="000000"/>
        </w:rPr>
      </w:pPr>
      <w:r w:rsidRPr="000159CA">
        <w:rPr>
          <w:rFonts w:eastAsia="Times New Roman" w:cstheme="minorHAnsi"/>
          <w:b/>
          <w:bCs/>
          <w:lang w:eastAsia="pl-PL"/>
        </w:rPr>
        <w:t>Produkt etapu:</w:t>
      </w:r>
      <w:r>
        <w:rPr>
          <w:rFonts w:eastAsia="Times New Roman" w:cstheme="minorHAnsi"/>
          <w:b/>
          <w:bCs/>
          <w:lang w:eastAsia="pl-PL"/>
        </w:rPr>
        <w:t xml:space="preserve"> </w:t>
      </w:r>
      <w:r>
        <w:rPr>
          <w:rFonts w:cstheme="minorHAnsi"/>
        </w:rPr>
        <w:t xml:space="preserve">raport z przeprowadzonych badań zawierający identyfikację wariantów cechujących się </w:t>
      </w:r>
      <w:r w:rsidRPr="00B53EF3">
        <w:rPr>
          <w:rFonts w:cstheme="minorHAnsi"/>
        </w:rPr>
        <w:t>odpornoś</w:t>
      </w:r>
      <w:r>
        <w:rPr>
          <w:rFonts w:cstheme="minorHAnsi"/>
        </w:rPr>
        <w:t>cią</w:t>
      </w:r>
      <w:r w:rsidRPr="00B53EF3">
        <w:rPr>
          <w:rFonts w:cstheme="minorHAnsi"/>
        </w:rPr>
        <w:t xml:space="preserve"> na starzenie: λ±10%, zmiany wymiarowe ±3%, zmiany wytrzymałości mechanicznej ±10%</w:t>
      </w:r>
    </w:p>
    <w:p w14:paraId="09ACFFFB" w14:textId="5A860BE0" w:rsidR="00F321AE" w:rsidRPr="009B68F2" w:rsidRDefault="00F321AE" w:rsidP="009B68F2">
      <w:pPr>
        <w:spacing w:after="0" w:line="360" w:lineRule="auto"/>
        <w:jc w:val="both"/>
        <w:rPr>
          <w:rFonts w:eastAsia="Tahoma" w:cstheme="minorHAnsi"/>
          <w:b/>
        </w:rPr>
      </w:pPr>
    </w:p>
    <w:p w14:paraId="03BEB688" w14:textId="2683B3EF" w:rsidR="00F321AE" w:rsidRPr="00315860" w:rsidRDefault="00F321AE" w:rsidP="009B68F2">
      <w:pPr>
        <w:spacing w:after="0" w:line="360" w:lineRule="auto"/>
        <w:jc w:val="both"/>
        <w:rPr>
          <w:rFonts w:eastAsia="Tahoma" w:cstheme="minorHAnsi"/>
          <w:b/>
          <w:bCs/>
          <w:sz w:val="24"/>
          <w:szCs w:val="24"/>
        </w:rPr>
      </w:pPr>
      <w:r w:rsidRPr="00315860">
        <w:rPr>
          <w:rFonts w:eastAsia="Tahoma" w:cstheme="minorHAnsi"/>
          <w:b/>
          <w:bCs/>
          <w:sz w:val="24"/>
          <w:szCs w:val="24"/>
        </w:rPr>
        <w:t xml:space="preserve">Harmonogram realizacji </w:t>
      </w:r>
      <w:r w:rsidR="008E0005" w:rsidRPr="00315860">
        <w:rPr>
          <w:rFonts w:eastAsia="Tahoma" w:cstheme="minorHAnsi"/>
          <w:b/>
          <w:bCs/>
          <w:sz w:val="24"/>
          <w:szCs w:val="24"/>
        </w:rPr>
        <w:t>usługi</w:t>
      </w:r>
    </w:p>
    <w:p w14:paraId="466D36EE" w14:textId="03A0E99F" w:rsidR="00F321AE" w:rsidRPr="009B68F2" w:rsidRDefault="001A0011" w:rsidP="009B68F2">
      <w:pPr>
        <w:spacing w:after="0" w:line="360" w:lineRule="auto"/>
        <w:jc w:val="both"/>
        <w:rPr>
          <w:rFonts w:eastAsia="Tahoma" w:cstheme="minorHAnsi"/>
        </w:rPr>
      </w:pPr>
      <w:r w:rsidRPr="000159CA">
        <w:rPr>
          <w:rFonts w:eastAsia="Tahoma" w:cstheme="minorHAnsi"/>
        </w:rPr>
        <w:t xml:space="preserve">Realizacja usługi planowana jest na okres </w:t>
      </w:r>
      <w:r w:rsidR="00111255" w:rsidRPr="00111255">
        <w:rPr>
          <w:rFonts w:ascii="Calibri" w:eastAsia="Times New Roman" w:hAnsi="Calibri" w:cs="Times New Roman"/>
          <w:lang w:eastAsia="pl-PL"/>
        </w:rPr>
        <w:t>od 20 marca 2026 roku do 30 kwietnia 2026 roku</w:t>
      </w:r>
      <w:r w:rsidRPr="000159CA">
        <w:rPr>
          <w:rFonts w:eastAsia="Tahoma" w:cstheme="minorHAnsi"/>
        </w:rPr>
        <w:t>, z etapową realizacją prac i odbiorami częściowymi umożliwiającymi sukcesywne przekazywanie wyników oraz ich bieżącą weryfikację przez Zamawiającego</w:t>
      </w:r>
      <w:r>
        <w:rPr>
          <w:rFonts w:eastAsia="Tahoma" w:cstheme="minorHAnsi"/>
        </w:rPr>
        <w:t>.</w:t>
      </w:r>
    </w:p>
    <w:p w14:paraId="05CD14C9" w14:textId="77777777" w:rsidR="008E0005" w:rsidRPr="009B68F2" w:rsidRDefault="008E0005" w:rsidP="009B68F2">
      <w:pPr>
        <w:spacing w:after="0" w:line="360" w:lineRule="auto"/>
        <w:jc w:val="both"/>
        <w:rPr>
          <w:rFonts w:eastAsia="Tahoma" w:cstheme="minorHAnsi"/>
        </w:rPr>
      </w:pPr>
    </w:p>
    <w:p w14:paraId="66E112CA" w14:textId="15C8040E" w:rsidR="00F321AE" w:rsidRPr="00315860" w:rsidRDefault="00F321AE" w:rsidP="009B68F2">
      <w:pPr>
        <w:spacing w:after="0" w:line="360" w:lineRule="auto"/>
        <w:jc w:val="both"/>
        <w:rPr>
          <w:rFonts w:eastAsia="Tahoma" w:cstheme="minorHAnsi"/>
          <w:b/>
          <w:bCs/>
          <w:sz w:val="24"/>
          <w:szCs w:val="24"/>
        </w:rPr>
      </w:pPr>
      <w:r w:rsidRPr="00315860">
        <w:rPr>
          <w:rFonts w:eastAsia="Tahoma" w:cstheme="minorHAnsi"/>
          <w:b/>
          <w:bCs/>
          <w:sz w:val="24"/>
          <w:szCs w:val="24"/>
        </w:rPr>
        <w:t xml:space="preserve">Osoba prowadząca/nadzorująca ze strony </w:t>
      </w:r>
      <w:r w:rsidR="008E0005" w:rsidRPr="00315860">
        <w:rPr>
          <w:rFonts w:eastAsia="Tahoma" w:cstheme="minorHAnsi"/>
          <w:b/>
          <w:bCs/>
          <w:sz w:val="24"/>
          <w:szCs w:val="24"/>
        </w:rPr>
        <w:t>Zamawiającego</w:t>
      </w:r>
    </w:p>
    <w:p w14:paraId="17F20C49" w14:textId="093D80ED" w:rsidR="009B68F2" w:rsidRPr="00B53EF3" w:rsidRDefault="008E0005" w:rsidP="00B53EF3">
      <w:pPr>
        <w:spacing w:after="0" w:line="360" w:lineRule="auto"/>
        <w:jc w:val="both"/>
        <w:rPr>
          <w:rFonts w:eastAsia="Tahoma" w:cstheme="minorHAnsi"/>
        </w:rPr>
      </w:pPr>
      <w:r w:rsidRPr="009B68F2">
        <w:rPr>
          <w:rFonts w:eastAsia="Tahoma" w:cstheme="minorHAnsi"/>
        </w:rPr>
        <w:t xml:space="preserve">Tomasz </w:t>
      </w:r>
      <w:r w:rsidR="00F91C68">
        <w:rPr>
          <w:rFonts w:eastAsia="Tahoma" w:cstheme="minorHAnsi"/>
        </w:rPr>
        <w:t>Tomaszewski</w:t>
      </w:r>
    </w:p>
    <w:p w14:paraId="2DCA750C" w14:textId="77777777" w:rsidR="009B68F2" w:rsidRDefault="009B68F2" w:rsidP="009B68F2">
      <w:pPr>
        <w:spacing w:after="0" w:line="360" w:lineRule="auto"/>
        <w:ind w:left="284"/>
        <w:jc w:val="both"/>
        <w:rPr>
          <w:rFonts w:eastAsia="Tahoma" w:cstheme="minorHAnsi"/>
        </w:rPr>
      </w:pPr>
    </w:p>
    <w:p w14:paraId="7F00252D" w14:textId="1DA06835" w:rsidR="00F321AE" w:rsidRPr="00315860" w:rsidRDefault="00F321AE" w:rsidP="001A0011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315860">
        <w:rPr>
          <w:rFonts w:eastAsia="Tahoma" w:cstheme="minorHAnsi"/>
          <w:b/>
          <w:bCs/>
          <w:sz w:val="24"/>
          <w:szCs w:val="24"/>
        </w:rPr>
        <w:t>Formalne potwierdzenie wykonania usługi</w:t>
      </w:r>
    </w:p>
    <w:p w14:paraId="6FBB19FD" w14:textId="6145CE83" w:rsidR="00814F12" w:rsidRPr="009B68F2" w:rsidRDefault="001A0011" w:rsidP="009B68F2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159CA">
        <w:rPr>
          <w:rFonts w:asciiTheme="minorHAnsi" w:hAnsiTheme="minorHAnsi" w:cstheme="minorHAnsi"/>
          <w:sz w:val="22"/>
          <w:szCs w:val="22"/>
        </w:rPr>
        <w:t>Podstawą odbioru usługi będ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0159CA">
        <w:rPr>
          <w:rFonts w:asciiTheme="minorHAnsi" w:hAnsiTheme="minorHAnsi" w:cstheme="minorHAnsi"/>
          <w:sz w:val="22"/>
          <w:szCs w:val="22"/>
        </w:rPr>
        <w:t xml:space="preserve"> raport końcowy oraz raporty cząstkowe dla poszczególnych </w:t>
      </w:r>
      <w:r>
        <w:rPr>
          <w:rFonts w:asciiTheme="minorHAnsi" w:hAnsiTheme="minorHAnsi" w:cstheme="minorHAnsi"/>
          <w:sz w:val="22"/>
          <w:szCs w:val="22"/>
        </w:rPr>
        <w:t>etapów prac</w:t>
      </w:r>
      <w:r w:rsidRPr="000159CA">
        <w:rPr>
          <w:rFonts w:asciiTheme="minorHAnsi" w:hAnsiTheme="minorHAnsi" w:cstheme="minorHAnsi"/>
          <w:sz w:val="22"/>
          <w:szCs w:val="22"/>
        </w:rPr>
        <w:t xml:space="preserve">, zawierające wyniki </w:t>
      </w:r>
      <w:r w:rsidR="00B53EF3">
        <w:rPr>
          <w:rFonts w:asciiTheme="minorHAnsi" w:hAnsiTheme="minorHAnsi" w:cstheme="minorHAnsi"/>
          <w:sz w:val="22"/>
          <w:szCs w:val="22"/>
        </w:rPr>
        <w:t>badań/</w:t>
      </w:r>
      <w:r w:rsidRPr="000159CA">
        <w:rPr>
          <w:rFonts w:asciiTheme="minorHAnsi" w:hAnsiTheme="minorHAnsi" w:cstheme="minorHAnsi"/>
          <w:sz w:val="22"/>
          <w:szCs w:val="22"/>
        </w:rPr>
        <w:t>analiz</w:t>
      </w:r>
      <w:r w:rsidR="00B53EF3">
        <w:rPr>
          <w:rFonts w:asciiTheme="minorHAnsi" w:hAnsiTheme="minorHAnsi" w:cstheme="minorHAnsi"/>
          <w:sz w:val="22"/>
          <w:szCs w:val="22"/>
        </w:rPr>
        <w:t>.</w:t>
      </w:r>
    </w:p>
    <w:sectPr w:rsidR="00814F12" w:rsidRPr="009B68F2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73CBB" w14:textId="77777777" w:rsidR="00FE36D5" w:rsidRDefault="00FE36D5" w:rsidP="00EC6222">
      <w:pPr>
        <w:spacing w:after="0" w:line="240" w:lineRule="auto"/>
      </w:pPr>
      <w:r>
        <w:separator/>
      </w:r>
    </w:p>
  </w:endnote>
  <w:endnote w:type="continuationSeparator" w:id="0">
    <w:p w14:paraId="327C2DAC" w14:textId="77777777" w:rsidR="00FE36D5" w:rsidRDefault="00FE36D5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26DC7" w14:textId="77777777" w:rsidR="00FE36D5" w:rsidRDefault="00FE36D5" w:rsidP="00EC6222">
      <w:pPr>
        <w:spacing w:after="0" w:line="240" w:lineRule="auto"/>
      </w:pPr>
      <w:r>
        <w:separator/>
      </w:r>
    </w:p>
  </w:footnote>
  <w:footnote w:type="continuationSeparator" w:id="0">
    <w:p w14:paraId="70BF2AAB" w14:textId="77777777" w:rsidR="00FE36D5" w:rsidRDefault="00FE36D5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6E"/>
    <w:multiLevelType w:val="hybridMultilevel"/>
    <w:tmpl w:val="42E01106"/>
    <w:lvl w:ilvl="0" w:tplc="0415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02FD4292"/>
    <w:multiLevelType w:val="hybridMultilevel"/>
    <w:tmpl w:val="62E2FE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D7F6D"/>
    <w:multiLevelType w:val="hybridMultilevel"/>
    <w:tmpl w:val="62E2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20073"/>
    <w:multiLevelType w:val="multilevel"/>
    <w:tmpl w:val="EA50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0" w15:restartNumberingAfterBreak="0">
    <w:nsid w:val="087C376B"/>
    <w:multiLevelType w:val="multilevel"/>
    <w:tmpl w:val="0A442AE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2E2A07"/>
    <w:multiLevelType w:val="hybridMultilevel"/>
    <w:tmpl w:val="2E70D7A6"/>
    <w:lvl w:ilvl="0" w:tplc="2EC45CA2">
      <w:start w:val="1"/>
      <w:numFmt w:val="bullet"/>
      <w:lvlText w:val="-"/>
      <w:lvlJc w:val="left"/>
      <w:pPr>
        <w:ind w:left="3905" w:hanging="360"/>
      </w:pPr>
      <w:rPr>
        <w:rFonts w:ascii="Arial" w:hAnsi="Aria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2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3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5A6339"/>
    <w:multiLevelType w:val="hybridMultilevel"/>
    <w:tmpl w:val="28D2727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1B9A200D"/>
    <w:multiLevelType w:val="hybridMultilevel"/>
    <w:tmpl w:val="0052C79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08669B7"/>
    <w:multiLevelType w:val="hybridMultilevel"/>
    <w:tmpl w:val="CDB8AEB4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6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7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6AC3C5A"/>
    <w:multiLevelType w:val="hybridMultilevel"/>
    <w:tmpl w:val="F65E2C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9DD3F5E"/>
    <w:multiLevelType w:val="hybridMultilevel"/>
    <w:tmpl w:val="974479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702626"/>
    <w:multiLevelType w:val="hybridMultilevel"/>
    <w:tmpl w:val="39EA1D52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5F5DD6"/>
    <w:multiLevelType w:val="multilevel"/>
    <w:tmpl w:val="6A96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845956"/>
    <w:multiLevelType w:val="hybridMultilevel"/>
    <w:tmpl w:val="FF4C92BA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78A6E34"/>
    <w:multiLevelType w:val="multilevel"/>
    <w:tmpl w:val="38CC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3E4439"/>
    <w:multiLevelType w:val="hybridMultilevel"/>
    <w:tmpl w:val="EB0A5BD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3A963A6A"/>
    <w:multiLevelType w:val="hybridMultilevel"/>
    <w:tmpl w:val="B85078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AC2404"/>
    <w:multiLevelType w:val="hybridMultilevel"/>
    <w:tmpl w:val="766A2C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AE46B3"/>
    <w:multiLevelType w:val="hybridMultilevel"/>
    <w:tmpl w:val="E872F8DA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EA6077"/>
    <w:multiLevelType w:val="hybridMultilevel"/>
    <w:tmpl w:val="FB2A083E"/>
    <w:lvl w:ilvl="0" w:tplc="0415000B">
      <w:start w:val="1"/>
      <w:numFmt w:val="bullet"/>
      <w:lvlText w:val="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4" w15:restartNumberingAfterBreak="0">
    <w:nsid w:val="4A70741D"/>
    <w:multiLevelType w:val="multilevel"/>
    <w:tmpl w:val="9046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9" w15:restartNumberingAfterBreak="0">
    <w:nsid w:val="4DE63240"/>
    <w:multiLevelType w:val="hybridMultilevel"/>
    <w:tmpl w:val="4F6C62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4FF648C0"/>
    <w:multiLevelType w:val="hybridMultilevel"/>
    <w:tmpl w:val="39EA1D52"/>
    <w:lvl w:ilvl="0" w:tplc="5A365B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5DFA95F2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3" w15:restartNumberingAfterBreak="0">
    <w:nsid w:val="55DE7ABC"/>
    <w:multiLevelType w:val="hybridMultilevel"/>
    <w:tmpl w:val="94A6477C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361B97"/>
    <w:multiLevelType w:val="hybridMultilevel"/>
    <w:tmpl w:val="86C241A2"/>
    <w:lvl w:ilvl="0" w:tplc="4C5E15A6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7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171B9E"/>
    <w:multiLevelType w:val="hybridMultilevel"/>
    <w:tmpl w:val="69A2FA2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5F075240"/>
    <w:multiLevelType w:val="hybridMultilevel"/>
    <w:tmpl w:val="A3543E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1D20196"/>
    <w:multiLevelType w:val="hybridMultilevel"/>
    <w:tmpl w:val="FE62B5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BF2A9B"/>
    <w:multiLevelType w:val="multilevel"/>
    <w:tmpl w:val="4E64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7" w15:restartNumberingAfterBreak="0">
    <w:nsid w:val="741C3736"/>
    <w:multiLevelType w:val="hybridMultilevel"/>
    <w:tmpl w:val="C40CA78C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7D74843"/>
    <w:multiLevelType w:val="hybridMultilevel"/>
    <w:tmpl w:val="BCC8C1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A527070"/>
    <w:multiLevelType w:val="multilevel"/>
    <w:tmpl w:val="95348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A9C01FF"/>
    <w:multiLevelType w:val="multilevel"/>
    <w:tmpl w:val="217848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33"/>
  </w:num>
  <w:num w:numId="2" w16cid:durableId="1747263940">
    <w:abstractNumId w:val="54"/>
  </w:num>
  <w:num w:numId="3" w16cid:durableId="458844511">
    <w:abstractNumId w:val="61"/>
  </w:num>
  <w:num w:numId="4" w16cid:durableId="407461525">
    <w:abstractNumId w:val="64"/>
  </w:num>
  <w:num w:numId="5" w16cid:durableId="75251529">
    <w:abstractNumId w:val="5"/>
  </w:num>
  <w:num w:numId="6" w16cid:durableId="531842450">
    <w:abstractNumId w:val="68"/>
  </w:num>
  <w:num w:numId="7" w16cid:durableId="1675108494">
    <w:abstractNumId w:val="63"/>
  </w:num>
  <w:num w:numId="8" w16cid:durableId="292951564">
    <w:abstractNumId w:val="66"/>
  </w:num>
  <w:num w:numId="9" w16cid:durableId="2035812798">
    <w:abstractNumId w:val="34"/>
  </w:num>
  <w:num w:numId="10" w16cid:durableId="157425420">
    <w:abstractNumId w:val="26"/>
  </w:num>
  <w:num w:numId="11" w16cid:durableId="60835433">
    <w:abstractNumId w:val="19"/>
  </w:num>
  <w:num w:numId="12" w16cid:durableId="1996183740">
    <w:abstractNumId w:val="52"/>
  </w:num>
  <w:num w:numId="13" w16cid:durableId="413740603">
    <w:abstractNumId w:val="51"/>
  </w:num>
  <w:num w:numId="14" w16cid:durableId="1899976466">
    <w:abstractNumId w:val="72"/>
  </w:num>
  <w:num w:numId="15" w16cid:durableId="1522933141">
    <w:abstractNumId w:val="20"/>
  </w:num>
  <w:num w:numId="16" w16cid:durableId="1517768352">
    <w:abstractNumId w:val="9"/>
  </w:num>
  <w:num w:numId="17" w16cid:durableId="1564752933">
    <w:abstractNumId w:val="41"/>
  </w:num>
  <w:num w:numId="18" w16cid:durableId="895624802">
    <w:abstractNumId w:val="25"/>
  </w:num>
  <w:num w:numId="19" w16cid:durableId="685519410">
    <w:abstractNumId w:val="35"/>
  </w:num>
  <w:num w:numId="20" w16cid:durableId="1032457138">
    <w:abstractNumId w:val="12"/>
  </w:num>
  <w:num w:numId="21" w16cid:durableId="133106685">
    <w:abstractNumId w:val="22"/>
  </w:num>
  <w:num w:numId="22" w16cid:durableId="1048069971">
    <w:abstractNumId w:val="48"/>
  </w:num>
  <w:num w:numId="23" w16cid:durableId="465320340">
    <w:abstractNumId w:val="1"/>
  </w:num>
  <w:num w:numId="24" w16cid:durableId="984353366">
    <w:abstractNumId w:val="21"/>
  </w:num>
  <w:num w:numId="25" w16cid:durableId="1535727702">
    <w:abstractNumId w:val="27"/>
  </w:num>
  <w:num w:numId="26" w16cid:durableId="944730269">
    <w:abstractNumId w:val="47"/>
  </w:num>
  <w:num w:numId="27" w16cid:durableId="1138035633">
    <w:abstractNumId w:val="7"/>
  </w:num>
  <w:num w:numId="28" w16cid:durableId="1063061808">
    <w:abstractNumId w:val="14"/>
  </w:num>
  <w:num w:numId="29" w16cid:durableId="735784964">
    <w:abstractNumId w:val="15"/>
  </w:num>
  <w:num w:numId="30" w16cid:durableId="1514298910">
    <w:abstractNumId w:val="2"/>
  </w:num>
  <w:num w:numId="31" w16cid:durableId="1451508863">
    <w:abstractNumId w:val="18"/>
  </w:num>
  <w:num w:numId="32" w16cid:durableId="268246111">
    <w:abstractNumId w:val="45"/>
  </w:num>
  <w:num w:numId="33" w16cid:durableId="133453007">
    <w:abstractNumId w:val="8"/>
  </w:num>
  <w:num w:numId="34" w16cid:durableId="2051299943">
    <w:abstractNumId w:val="57"/>
  </w:num>
  <w:num w:numId="35" w16cid:durableId="194390392">
    <w:abstractNumId w:val="46"/>
  </w:num>
  <w:num w:numId="36" w16cid:durableId="744687815">
    <w:abstractNumId w:val="42"/>
  </w:num>
  <w:num w:numId="37" w16cid:durableId="618954180">
    <w:abstractNumId w:val="17"/>
  </w:num>
  <w:num w:numId="38" w16cid:durableId="1564943478">
    <w:abstractNumId w:val="32"/>
  </w:num>
  <w:num w:numId="39" w16cid:durableId="1355419294">
    <w:abstractNumId w:val="55"/>
  </w:num>
  <w:num w:numId="40" w16cid:durableId="1023559859">
    <w:abstractNumId w:val="65"/>
  </w:num>
  <w:num w:numId="41" w16cid:durableId="1619339328">
    <w:abstractNumId w:val="13"/>
  </w:num>
  <w:num w:numId="42" w16cid:durableId="543098629">
    <w:abstractNumId w:val="56"/>
  </w:num>
  <w:num w:numId="43" w16cid:durableId="1174104606">
    <w:abstractNumId w:val="50"/>
  </w:num>
  <w:num w:numId="44" w16cid:durableId="567228967">
    <w:abstractNumId w:val="39"/>
  </w:num>
  <w:num w:numId="45" w16cid:durableId="624579042">
    <w:abstractNumId w:val="23"/>
  </w:num>
  <w:num w:numId="46" w16cid:durableId="775293871">
    <w:abstractNumId w:val="29"/>
  </w:num>
  <w:num w:numId="47" w16cid:durableId="855656551">
    <w:abstractNumId w:val="43"/>
  </w:num>
  <w:num w:numId="48" w16cid:durableId="642659072">
    <w:abstractNumId w:val="40"/>
  </w:num>
  <w:num w:numId="49" w16cid:durableId="373237617">
    <w:abstractNumId w:val="59"/>
  </w:num>
  <w:num w:numId="50" w16cid:durableId="316348933">
    <w:abstractNumId w:val="67"/>
  </w:num>
  <w:num w:numId="51" w16cid:durableId="2103257023">
    <w:abstractNumId w:val="11"/>
  </w:num>
  <w:num w:numId="52" w16cid:durableId="718095217">
    <w:abstractNumId w:val="69"/>
  </w:num>
  <w:num w:numId="53" w16cid:durableId="1091008126">
    <w:abstractNumId w:val="16"/>
  </w:num>
  <w:num w:numId="54" w16cid:durableId="1500004034">
    <w:abstractNumId w:val="53"/>
  </w:num>
  <w:num w:numId="55" w16cid:durableId="1772704226">
    <w:abstractNumId w:val="24"/>
  </w:num>
  <w:num w:numId="56" w16cid:durableId="842821497">
    <w:abstractNumId w:val="30"/>
  </w:num>
  <w:num w:numId="57" w16cid:durableId="396559683">
    <w:abstractNumId w:val="0"/>
  </w:num>
  <w:num w:numId="58" w16cid:durableId="208150446">
    <w:abstractNumId w:val="4"/>
  </w:num>
  <w:num w:numId="59" w16cid:durableId="251548042">
    <w:abstractNumId w:val="3"/>
  </w:num>
  <w:num w:numId="60" w16cid:durableId="2063482998">
    <w:abstractNumId w:val="38"/>
  </w:num>
  <w:num w:numId="61" w16cid:durableId="1319502612">
    <w:abstractNumId w:val="49"/>
  </w:num>
  <w:num w:numId="62" w16cid:durableId="710685617">
    <w:abstractNumId w:val="58"/>
  </w:num>
  <w:num w:numId="63" w16cid:durableId="1835879063">
    <w:abstractNumId w:val="37"/>
  </w:num>
  <w:num w:numId="64" w16cid:durableId="510996447">
    <w:abstractNumId w:val="31"/>
  </w:num>
  <w:num w:numId="65" w16cid:durableId="1093665258">
    <w:abstractNumId w:val="71"/>
  </w:num>
  <w:num w:numId="66" w16cid:durableId="707143441">
    <w:abstractNumId w:val="10"/>
  </w:num>
  <w:num w:numId="67" w16cid:durableId="1620914842">
    <w:abstractNumId w:val="44"/>
  </w:num>
  <w:num w:numId="68" w16cid:durableId="718480390">
    <w:abstractNumId w:val="70"/>
  </w:num>
  <w:num w:numId="69" w16cid:durableId="2112360295">
    <w:abstractNumId w:val="36"/>
  </w:num>
  <w:num w:numId="70" w16cid:durableId="1927763277">
    <w:abstractNumId w:val="6"/>
  </w:num>
  <w:num w:numId="71" w16cid:durableId="1646469730">
    <w:abstractNumId w:val="62"/>
  </w:num>
  <w:num w:numId="72" w16cid:durableId="1638753574">
    <w:abstractNumId w:val="28"/>
  </w:num>
  <w:num w:numId="73" w16cid:durableId="1985692812">
    <w:abstractNumId w:val="6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E12"/>
    <w:rsid w:val="00005D47"/>
    <w:rsid w:val="00025FCB"/>
    <w:rsid w:val="00062A36"/>
    <w:rsid w:val="00062E01"/>
    <w:rsid w:val="00064FE7"/>
    <w:rsid w:val="00092370"/>
    <w:rsid w:val="00097DA5"/>
    <w:rsid w:val="000B14D3"/>
    <w:rsid w:val="000C178D"/>
    <w:rsid w:val="00111255"/>
    <w:rsid w:val="00132836"/>
    <w:rsid w:val="00134419"/>
    <w:rsid w:val="0019409C"/>
    <w:rsid w:val="001A0011"/>
    <w:rsid w:val="001A00A3"/>
    <w:rsid w:val="001B0944"/>
    <w:rsid w:val="001C3889"/>
    <w:rsid w:val="001D0201"/>
    <w:rsid w:val="001E69E3"/>
    <w:rsid w:val="00221BB6"/>
    <w:rsid w:val="00230EF5"/>
    <w:rsid w:val="002430DA"/>
    <w:rsid w:val="00244D82"/>
    <w:rsid w:val="002519DE"/>
    <w:rsid w:val="0026350D"/>
    <w:rsid w:val="00282CED"/>
    <w:rsid w:val="002A1164"/>
    <w:rsid w:val="002C0978"/>
    <w:rsid w:val="002E0632"/>
    <w:rsid w:val="002E6407"/>
    <w:rsid w:val="002E773A"/>
    <w:rsid w:val="002F36A1"/>
    <w:rsid w:val="00315860"/>
    <w:rsid w:val="00317BAC"/>
    <w:rsid w:val="00323AF1"/>
    <w:rsid w:val="00337F63"/>
    <w:rsid w:val="00341201"/>
    <w:rsid w:val="00346E12"/>
    <w:rsid w:val="0037737B"/>
    <w:rsid w:val="00392FB0"/>
    <w:rsid w:val="003C03F8"/>
    <w:rsid w:val="003E4CB3"/>
    <w:rsid w:val="003F4AC4"/>
    <w:rsid w:val="003F4D18"/>
    <w:rsid w:val="00404CB5"/>
    <w:rsid w:val="00416DDE"/>
    <w:rsid w:val="00421956"/>
    <w:rsid w:val="00440892"/>
    <w:rsid w:val="004470D8"/>
    <w:rsid w:val="00463FCE"/>
    <w:rsid w:val="0049688B"/>
    <w:rsid w:val="004B798C"/>
    <w:rsid w:val="004C1167"/>
    <w:rsid w:val="004D407C"/>
    <w:rsid w:val="004E5BE5"/>
    <w:rsid w:val="00513103"/>
    <w:rsid w:val="00536D5D"/>
    <w:rsid w:val="00540A2B"/>
    <w:rsid w:val="0054543F"/>
    <w:rsid w:val="00573B3D"/>
    <w:rsid w:val="00577510"/>
    <w:rsid w:val="005A16DE"/>
    <w:rsid w:val="005A6B48"/>
    <w:rsid w:val="005C1CD2"/>
    <w:rsid w:val="005D7435"/>
    <w:rsid w:val="00603CFC"/>
    <w:rsid w:val="00625425"/>
    <w:rsid w:val="0063740E"/>
    <w:rsid w:val="00653FE4"/>
    <w:rsid w:val="00670B80"/>
    <w:rsid w:val="006A5943"/>
    <w:rsid w:val="006A7259"/>
    <w:rsid w:val="006B5264"/>
    <w:rsid w:val="006C336C"/>
    <w:rsid w:val="006D1DEF"/>
    <w:rsid w:val="00701649"/>
    <w:rsid w:val="00702DFB"/>
    <w:rsid w:val="007403C4"/>
    <w:rsid w:val="007612BF"/>
    <w:rsid w:val="0077347B"/>
    <w:rsid w:val="00782B2D"/>
    <w:rsid w:val="00782D17"/>
    <w:rsid w:val="007B76E5"/>
    <w:rsid w:val="007E6FF0"/>
    <w:rsid w:val="007F70D1"/>
    <w:rsid w:val="00814F12"/>
    <w:rsid w:val="00843811"/>
    <w:rsid w:val="008547F6"/>
    <w:rsid w:val="008565A6"/>
    <w:rsid w:val="00863DB9"/>
    <w:rsid w:val="00863FF1"/>
    <w:rsid w:val="00897641"/>
    <w:rsid w:val="008B7B34"/>
    <w:rsid w:val="008D3074"/>
    <w:rsid w:val="008D616F"/>
    <w:rsid w:val="008E0005"/>
    <w:rsid w:val="008E4D7C"/>
    <w:rsid w:val="008F5028"/>
    <w:rsid w:val="00912A53"/>
    <w:rsid w:val="0092468A"/>
    <w:rsid w:val="00933A88"/>
    <w:rsid w:val="00935CA6"/>
    <w:rsid w:val="009458F9"/>
    <w:rsid w:val="00951F49"/>
    <w:rsid w:val="009647DD"/>
    <w:rsid w:val="009A20EC"/>
    <w:rsid w:val="009B0EE9"/>
    <w:rsid w:val="009B1299"/>
    <w:rsid w:val="009B60E7"/>
    <w:rsid w:val="009B68F2"/>
    <w:rsid w:val="00A00ACD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53927"/>
    <w:rsid w:val="00A57A2F"/>
    <w:rsid w:val="00A72E39"/>
    <w:rsid w:val="00A93E74"/>
    <w:rsid w:val="00A94B4E"/>
    <w:rsid w:val="00AA03B2"/>
    <w:rsid w:val="00AD1282"/>
    <w:rsid w:val="00AF515B"/>
    <w:rsid w:val="00AF6F0D"/>
    <w:rsid w:val="00B22E57"/>
    <w:rsid w:val="00B454E9"/>
    <w:rsid w:val="00B53EF3"/>
    <w:rsid w:val="00B640F5"/>
    <w:rsid w:val="00B7340E"/>
    <w:rsid w:val="00B87A7B"/>
    <w:rsid w:val="00B95B86"/>
    <w:rsid w:val="00BA67D3"/>
    <w:rsid w:val="00C01E6E"/>
    <w:rsid w:val="00C23D11"/>
    <w:rsid w:val="00C85802"/>
    <w:rsid w:val="00CA158F"/>
    <w:rsid w:val="00CB149C"/>
    <w:rsid w:val="00CD1A0B"/>
    <w:rsid w:val="00CE1CBF"/>
    <w:rsid w:val="00CE25C9"/>
    <w:rsid w:val="00D05DC4"/>
    <w:rsid w:val="00D14F27"/>
    <w:rsid w:val="00D2449C"/>
    <w:rsid w:val="00D452CB"/>
    <w:rsid w:val="00D743CE"/>
    <w:rsid w:val="00D83848"/>
    <w:rsid w:val="00D84DCC"/>
    <w:rsid w:val="00D94460"/>
    <w:rsid w:val="00DA48C4"/>
    <w:rsid w:val="00DD0B37"/>
    <w:rsid w:val="00DE4488"/>
    <w:rsid w:val="00DF53F3"/>
    <w:rsid w:val="00DF5DFD"/>
    <w:rsid w:val="00E02048"/>
    <w:rsid w:val="00E22A77"/>
    <w:rsid w:val="00E41BF4"/>
    <w:rsid w:val="00E47B31"/>
    <w:rsid w:val="00E56542"/>
    <w:rsid w:val="00E6304B"/>
    <w:rsid w:val="00E659CC"/>
    <w:rsid w:val="00E864A8"/>
    <w:rsid w:val="00E93912"/>
    <w:rsid w:val="00EC3B27"/>
    <w:rsid w:val="00EC6222"/>
    <w:rsid w:val="00EC62EA"/>
    <w:rsid w:val="00EC72E7"/>
    <w:rsid w:val="00EF28CE"/>
    <w:rsid w:val="00EF332D"/>
    <w:rsid w:val="00F03811"/>
    <w:rsid w:val="00F321AE"/>
    <w:rsid w:val="00F45630"/>
    <w:rsid w:val="00F91C68"/>
    <w:rsid w:val="00F975C6"/>
    <w:rsid w:val="00FA15A0"/>
    <w:rsid w:val="00FD3920"/>
    <w:rsid w:val="00FD4895"/>
    <w:rsid w:val="00FD6384"/>
    <w:rsid w:val="00FE36D5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697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25</cp:revision>
  <dcterms:created xsi:type="dcterms:W3CDTF">2023-01-12T12:30:00Z</dcterms:created>
  <dcterms:modified xsi:type="dcterms:W3CDTF">2026-03-06T06:57:00Z</dcterms:modified>
</cp:coreProperties>
</file>